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cs="Arial"/>
          <w:b/>
          <w:bCs/>
          <w:i w:val="0"/>
          <w:iCs w:val="0"/>
          <w:caps w:val="0"/>
          <w:color w:val="3D79AC"/>
          <w:spacing w:val="0"/>
          <w:sz w:val="36"/>
          <w:szCs w:val="36"/>
        </w:rPr>
      </w:pPr>
      <w:bookmarkStart w:id="0" w:name="_GoBack"/>
      <w:r>
        <w:rPr>
          <w:rFonts w:hint="default" w:ascii="Arial" w:hAnsi="Arial" w:cs="Arial"/>
          <w:b/>
          <w:bCs/>
          <w:i w:val="0"/>
          <w:iCs w:val="0"/>
          <w:caps w:val="0"/>
          <w:color w:val="3D79AC"/>
          <w:spacing w:val="0"/>
          <w:sz w:val="36"/>
          <w:szCs w:val="36"/>
          <w:bdr w:val="none" w:color="auto" w:sz="0" w:space="0"/>
        </w:rPr>
        <w:t>行政事业性国有资产管理条例</w:t>
      </w:r>
      <w:bookmarkEnd w:id="0"/>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索引号：430S00/2021-02004788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文号：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统一登记号：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公开方式：政府网站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公开范围：全部公开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信息有效时间：</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签署日期：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登记日期：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发文日期：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pPr>
      <w:r>
        <w:rPr>
          <w:rFonts w:hint="default" w:ascii="Arial" w:hAnsi="Arial" w:cs="Arial"/>
          <w:i w:val="0"/>
          <w:iCs w:val="0"/>
          <w:caps w:val="0"/>
          <w:color w:val="333333"/>
          <w:spacing w:val="0"/>
          <w:sz w:val="18"/>
          <w:szCs w:val="18"/>
          <w:bdr w:val="none" w:color="auto" w:sz="0" w:space="0"/>
        </w:rPr>
        <w:t>所属主题：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ascii="仿宋" w:hAnsi="仿宋" w:eastAsia="仿宋" w:cs="仿宋"/>
          <w:b/>
          <w:bCs/>
          <w:i w:val="0"/>
          <w:iCs w:val="0"/>
          <w:caps w:val="0"/>
          <w:color w:val="333333"/>
          <w:spacing w:val="0"/>
          <w:sz w:val="28"/>
          <w:szCs w:val="28"/>
          <w:bdr w:val="none" w:color="auto" w:sz="0" w:space="0"/>
          <w:shd w:val="clear" w:fill="FFFFFF"/>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第738号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《行政事业性国有资产管理条例》已经2020年12月30日国务院第120次常务会议通过，现予公布，自2021年4月1日起施行。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总　理　　李克强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2021年2月1日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行政事业性国有资产管理条例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第一条</w:t>
      </w:r>
      <w:r>
        <w:rPr>
          <w:rFonts w:hint="eastAsia" w:ascii="仿宋" w:hAnsi="仿宋" w:eastAsia="仿宋" w:cs="仿宋"/>
          <w:i w:val="0"/>
          <w:iCs w:val="0"/>
          <w:caps w:val="0"/>
          <w:color w:val="333333"/>
          <w:spacing w:val="0"/>
          <w:sz w:val="28"/>
          <w:szCs w:val="28"/>
          <w:bdr w:val="none" w:color="auto" w:sz="0" w:space="0"/>
          <w:shd w:val="clear" w:fill="FFFFFF"/>
        </w:rPr>
        <w:t>　为了加强行政事业性国有资产管理与监督，健全国有资产管理体制，推进国家治理体系和治理能力现代化，根据全国人民代表大会常务委员会关于加强国有资产管理情况监督的决定，制定本条例。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第二条</w:t>
      </w:r>
      <w:r>
        <w:rPr>
          <w:rFonts w:hint="eastAsia" w:ascii="仿宋" w:hAnsi="仿宋" w:eastAsia="仿宋" w:cs="仿宋"/>
          <w:i w:val="0"/>
          <w:iCs w:val="0"/>
          <w:caps w:val="0"/>
          <w:color w:val="333333"/>
          <w:spacing w:val="0"/>
          <w:sz w:val="28"/>
          <w:szCs w:val="28"/>
          <w:bdr w:val="none" w:color="auto" w:sz="0" w:space="0"/>
          <w:shd w:val="clear" w:fill="FFFFFF"/>
        </w:rPr>
        <w:t>　行政事业性国有资产，是指行政单位、事业单位通过以下方式取得或者形成的资产：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（一）使用财政资金形成的资产；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（二）接受调拨或者划转、置换形成的资产；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（三）接受捐赠并确认为国有的资产；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（四）其他国有资产。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第三条</w:t>
      </w:r>
      <w:r>
        <w:rPr>
          <w:rFonts w:hint="eastAsia" w:ascii="仿宋" w:hAnsi="仿宋" w:eastAsia="仿宋" w:cs="仿宋"/>
          <w:i w:val="0"/>
          <w:iCs w:val="0"/>
          <w:caps w:val="0"/>
          <w:color w:val="333333"/>
          <w:spacing w:val="0"/>
          <w:sz w:val="28"/>
          <w:szCs w:val="28"/>
          <w:bdr w:val="none" w:color="auto" w:sz="0" w:space="0"/>
          <w:shd w:val="clear" w:fill="FFFFFF"/>
        </w:rPr>
        <w:t>　行政事业性国有资产属于国家所有，实行政府分级监管、各部门及其所属单位直接支配的管理体制。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第四条</w:t>
      </w:r>
      <w:r>
        <w:rPr>
          <w:rFonts w:hint="eastAsia" w:ascii="仿宋" w:hAnsi="仿宋" w:eastAsia="仿宋" w:cs="仿宋"/>
          <w:i w:val="0"/>
          <w:iCs w:val="0"/>
          <w:caps w:val="0"/>
          <w:color w:val="333333"/>
          <w:spacing w:val="0"/>
          <w:sz w:val="28"/>
          <w:szCs w:val="28"/>
          <w:bdr w:val="none" w:color="auto" w:sz="0" w:space="0"/>
          <w:shd w:val="clear" w:fill="FFFFFF"/>
        </w:rPr>
        <w:t>　各级人民政府应当建立健全行政事业性国有资产管理机制，加强对本级行政事业性国有资产的管理，审查、批准重大行政事业性国有资产管理事项。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第五条</w:t>
      </w:r>
      <w:r>
        <w:rPr>
          <w:rFonts w:hint="eastAsia" w:ascii="仿宋" w:hAnsi="仿宋" w:eastAsia="仿宋" w:cs="仿宋"/>
          <w:i w:val="0"/>
          <w:iCs w:val="0"/>
          <w:caps w:val="0"/>
          <w:color w:val="333333"/>
          <w:spacing w:val="0"/>
          <w:sz w:val="28"/>
          <w:szCs w:val="28"/>
          <w:bdr w:val="none" w:color="auto" w:sz="0" w:space="0"/>
          <w:shd w:val="clear" w:fill="FFFFFF"/>
        </w:rPr>
        <w:t>　国务院财政部门负责制定行政事业单位国有资产管理规章制度并负责组织实施和监督检查，牵头编制行政事业性国有资产管理情况报告。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相关部门根据职责规定，按照集中统一、分类分级原则，加强中央行政事业单位国有资产管理，优化管理手段，提高管理效率。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第六条</w:t>
      </w:r>
      <w:r>
        <w:rPr>
          <w:rFonts w:hint="eastAsia" w:ascii="仿宋" w:hAnsi="仿宋" w:eastAsia="仿宋" w:cs="仿宋"/>
          <w:i w:val="0"/>
          <w:iCs w:val="0"/>
          <w:caps w:val="0"/>
          <w:color w:val="333333"/>
          <w:spacing w:val="0"/>
          <w:sz w:val="28"/>
          <w:szCs w:val="28"/>
          <w:bdr w:val="none" w:color="auto" w:sz="0" w:space="0"/>
          <w:shd w:val="clear" w:fill="FFFFFF"/>
        </w:rPr>
        <w:t>　各部门根据职责负责本部门及其所属单位国有资产管理工作，应当明确管理责任，指导、监督所属单位国有资产管理工作。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各部门所属单位负责本单位行政事业性国有资产的具体管理，应当建立和完善内部控制管理制度。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第七条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各部门及其所属单位管理行政事业性国有资产应当遵循安全规范、节约高效、公开透明、权责一致的原则，实现实物管理与价值管理相统一，资产管理与预算管理、财务管理相结合。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第二章　资产配置、使用和处置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第八条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各部门及其所属单位应当根据依法履行职能和事业发展的需要，结合资产存量、资产配置标准、绩效目标和财政承受能力配置资产。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第九条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各部门及其所属单位应当合理选择资产配置方式，资产配置重大事项应当经可行性研究和集体决策，资产价值较高的按照国家有关规定进行资产评估，并履行审批程序。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资产配置包括调剂、购置、建设、租用、接受捐赠等方式。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第十条</w:t>
      </w:r>
      <w:r>
        <w:rPr>
          <w:rFonts w:hint="eastAsia" w:ascii="仿宋" w:hAnsi="仿宋" w:eastAsia="仿宋" w:cs="仿宋"/>
          <w:i w:val="0"/>
          <w:iCs w:val="0"/>
          <w:caps w:val="0"/>
          <w:color w:val="333333"/>
          <w:spacing w:val="0"/>
          <w:sz w:val="28"/>
          <w:szCs w:val="28"/>
          <w:bdr w:val="none" w:color="auto" w:sz="0" w:space="0"/>
          <w:shd w:val="clear" w:fill="FFFFFF"/>
        </w:rPr>
        <w:t>　县级以上人民政府应当组织建立、完善资产配置标准体系，明确配置的数量、价值、等级、最低使用年限等标准。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资产配置标准应当按照勤俭节约、讲求绩效和绿色环保的要求，根据国家有关政策、经济社会发展水平、市场价格变化、科学技术进步等因素适时调整。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第十一条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各部门及其所属单位应当优先通过调剂方式配置资产。不能调剂的，可以采用购置、建设、租用等方式。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第十二条</w:t>
      </w:r>
      <w:r>
        <w:rPr>
          <w:rFonts w:hint="eastAsia" w:ascii="仿宋" w:hAnsi="仿宋" w:eastAsia="仿宋" w:cs="仿宋"/>
          <w:i w:val="0"/>
          <w:iCs w:val="0"/>
          <w:caps w:val="0"/>
          <w:color w:val="333333"/>
          <w:spacing w:val="0"/>
          <w:sz w:val="28"/>
          <w:szCs w:val="28"/>
          <w:bdr w:val="none" w:color="auto" w:sz="0" w:space="0"/>
          <w:shd w:val="clear" w:fill="FFFFFF"/>
        </w:rPr>
        <w:t>　行政单位国有资产应当用于本单位履行职能的需要。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除法律另有规定外，行政单位不得以任何形式将国有资产用于对外投资或者设立营利性组织。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第十三条</w:t>
      </w:r>
      <w:r>
        <w:rPr>
          <w:rFonts w:hint="eastAsia" w:ascii="仿宋" w:hAnsi="仿宋" w:eastAsia="仿宋" w:cs="仿宋"/>
          <w:i w:val="0"/>
          <w:iCs w:val="0"/>
          <w:caps w:val="0"/>
          <w:color w:val="333333"/>
          <w:spacing w:val="0"/>
          <w:sz w:val="28"/>
          <w:szCs w:val="28"/>
          <w:bdr w:val="none" w:color="auto" w:sz="0" w:space="0"/>
          <w:shd w:val="clear" w:fill="FFFFFF"/>
        </w:rPr>
        <w:t>　事业单位国有资产应当用于保障事业发展、提供公共服务。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第十四条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各部门及其所属单位应当加强对本单位固定资产、在建工程、流动资产、无形资产等各类国有资产的管理，明确管理责任，规范使用流程，加强产权保护，推进相关资产安全有效使用。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第十五条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各部门及其所属单位应当明确资产使用人和管理人的岗位责任。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资产使用人、管理人应当履行岗位责任，按照规程合理使用、管理资产，充分发挥资产效能。资产需要维修、保养、调剂、更新、报废的，资产使用人、管理人应当及时提出。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资产使用人、管理人发生变化的，应当及时办理资产交接手续。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第十六条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各部门及其所属单位接受捐赠的资产，应当按照捐赠约定的用途使用。捐赠人意愿不明确或者没有约定用途的，应当统筹安排使用。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第十七条</w:t>
      </w:r>
      <w:r>
        <w:rPr>
          <w:rFonts w:hint="eastAsia" w:ascii="仿宋" w:hAnsi="仿宋" w:eastAsia="仿宋" w:cs="仿宋"/>
          <w:i w:val="0"/>
          <w:iCs w:val="0"/>
          <w:caps w:val="0"/>
          <w:color w:val="333333"/>
          <w:spacing w:val="0"/>
          <w:sz w:val="28"/>
          <w:szCs w:val="28"/>
          <w:bdr w:val="none" w:color="auto" w:sz="0" w:space="0"/>
          <w:shd w:val="clear" w:fill="FFFFFF"/>
        </w:rPr>
        <w:t>　事业单位利用国有资产对外投资应当有利于事业发展和实现国有资产保值增值，符合国家有关规定，经可行性研究和集体决策，按照规定权限和程序进行。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事业单位应当明确对外投资形成的股权及其相关权益管理责任，按照规定将对外投资形成的股权纳入经营性国有资产集中统一监管体系。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第十八条</w:t>
      </w:r>
      <w:r>
        <w:rPr>
          <w:rFonts w:hint="eastAsia" w:ascii="仿宋" w:hAnsi="仿宋" w:eastAsia="仿宋" w:cs="仿宋"/>
          <w:i w:val="0"/>
          <w:iCs w:val="0"/>
          <w:caps w:val="0"/>
          <w:color w:val="333333"/>
          <w:spacing w:val="0"/>
          <w:sz w:val="28"/>
          <w:szCs w:val="28"/>
          <w:bdr w:val="none" w:color="auto" w:sz="0" w:space="0"/>
          <w:shd w:val="clear" w:fill="FFFFFF"/>
        </w:rPr>
        <w:t>　县级以上人民政府及其有关部门应当建立健全国有资产共享共用机制，采取措施引导和鼓励国有资产共享共用，统筹规划有效推进国有资产共享共用工作。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各部门及其所属单位应当在确保安全使用的前提下，推进本单位大型设备等国有资产共享共用工作，可以对提供方给予合理补偿。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第十九条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各部门及其所属单位应当根据履行职能、事业发展需要和资产使用状况，经集体决策和履行审批程序，依据处置事项批复等相关文件及时处置行政事业性国有资产。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各部门及其所属单位应当将依法罚没的资产按照国家规定公开拍卖或者按照国家有关规定处理，所得款项全部上缴国库。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第二十一条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各部门及其所属单位应当对下列资产及时予以报废、报损：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（一）因技术原因确需淘汰或者无法维修、无维修价值的资产；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（二）涉及盘亏、坏账以及非正常损失的资产；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（三）已超过使用年限且无法满足现有工作需要的资产；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（四）因自然灾害等不可抗力造成毁损、灭失的资产。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第二十二条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各部门及其所属单位发生分立、合并、改制、撤销、隶属关系改变或者部分职能、业务调整等情形，应当根据国家有关规定办理相关国有资产划转、交接手续。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第二十三条</w:t>
      </w:r>
      <w:r>
        <w:rPr>
          <w:rFonts w:hint="eastAsia" w:ascii="仿宋" w:hAnsi="仿宋" w:eastAsia="仿宋" w:cs="仿宋"/>
          <w:i w:val="0"/>
          <w:iCs w:val="0"/>
          <w:caps w:val="0"/>
          <w:color w:val="333333"/>
          <w:spacing w:val="0"/>
          <w:sz w:val="28"/>
          <w:szCs w:val="28"/>
          <w:bdr w:val="none" w:color="auto" w:sz="0" w:space="0"/>
          <w:shd w:val="clear" w:fill="FFFFFF"/>
        </w:rPr>
        <w:t>　国家设立的研究开发机构、高等院校对其持有的科技成果的使用和处置，依照《中华人民共和国促进科技成果转化法》、《中华人民共和国专利法》和国家有关规定执行。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第三章　预算管理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第二十四条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各部门及其所属单位购置、建设、租用资产应当提出资产配置需求，编制资产配置相关支出预算，并严格按照预算管理规定和财政部门批复的预算配置资产。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第二十五条</w:t>
      </w:r>
      <w:r>
        <w:rPr>
          <w:rFonts w:hint="eastAsia" w:ascii="仿宋" w:hAnsi="仿宋" w:eastAsia="仿宋" w:cs="仿宋"/>
          <w:i w:val="0"/>
          <w:iCs w:val="0"/>
          <w:caps w:val="0"/>
          <w:color w:val="333333"/>
          <w:spacing w:val="0"/>
          <w:sz w:val="28"/>
          <w:szCs w:val="28"/>
          <w:bdr w:val="none" w:color="auto" w:sz="0" w:space="0"/>
          <w:shd w:val="clear" w:fill="FFFFFF"/>
        </w:rPr>
        <w:t>　行政单位国有资产出租和处置等收入，应当按照政府非税收入和国库集中收缴制度的有关规定管理。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除国家另有规定外，事业单位国有资产的处置收入应当按照政府非税收入和国库集中收缴制度的有关规定管理。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事业单位国有资产使用形成的收入，由本级人民政府财政部门规定具体管理办法。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第二十六条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各部门及其所属单位应当及时收取各类资产收入，不得违反国家规定，多收、少收、不收、侵占、私分、截留、占用、挪用、隐匿、坐支。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第二十七条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各部门及其所属单位应当在决算中全面、真实、准确反映其国有资产收入、支出以及国有资产存量情况。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第二十八条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各部门及其所属单位应当按照国家规定建立国有资产绩效管理制度，建立健全绩效指标和标准，有序开展国有资产绩效管理工作。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第二十九条</w:t>
      </w:r>
      <w:r>
        <w:rPr>
          <w:rFonts w:hint="eastAsia" w:ascii="仿宋" w:hAnsi="仿宋" w:eastAsia="仿宋" w:cs="仿宋"/>
          <w:i w:val="0"/>
          <w:iCs w:val="0"/>
          <w:caps w:val="0"/>
          <w:color w:val="333333"/>
          <w:spacing w:val="0"/>
          <w:sz w:val="28"/>
          <w:szCs w:val="28"/>
          <w:bdr w:val="none" w:color="auto" w:sz="0" w:space="0"/>
          <w:shd w:val="clear" w:fill="FFFFFF"/>
        </w:rPr>
        <w:t>　县级以上人民政府投资建设公共基础设施，应当依法落实资金来源，加强预算约束，防范政府债务风险，并明确公共基础设施的管理维护责任单位。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第四章　基础管理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各部门及其所属单位应当按照国家规定设置行政事业性国有资产台账，依照国家统一的会计制度进行会计核算，不得形成账外资产。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第三十一条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各部门及其所属单位采用建设方式配置资产的，应当在建设项目竣工验收合格后及时办理资产交付手续，并在规定期限内办理竣工财务决算，期限最长不得超过1年。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各部门及其所属单位对已交付但未办理竣工财务决算的建设项目，应当按照国家统一的会计制度确认资产价值。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第三十二条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各部门及其所属单位对无法进行会计确认入账的资产，可以根据需要组织专家参照资产评估方法进行估价，并作为反映资产状况的依据。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第三十三条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各部门及其所属单位应当明确资产的维护、保养、维修的岗位责任。因使用不当或者维护、保养、维修不及时造成资产损失的，应当依法承担责任。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第三十四条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各部门及其所属单位应当定期或者不定期对资产进行盘点、对账。出现资产盘盈盘亏的，应当按照财务、会计和资产管理制度有关规定处理，做到账实相符和账账相符。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第三十五条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各部门及其所属单位处置资产应当及时核销相关资产台账信息，同时进行会计处理。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第三十六条</w:t>
      </w:r>
      <w:r>
        <w:rPr>
          <w:rFonts w:hint="eastAsia" w:ascii="仿宋" w:hAnsi="仿宋" w:eastAsia="仿宋" w:cs="仿宋"/>
          <w:i w:val="0"/>
          <w:iCs w:val="0"/>
          <w:caps w:val="0"/>
          <w:color w:val="333333"/>
          <w:spacing w:val="0"/>
          <w:sz w:val="28"/>
          <w:szCs w:val="28"/>
          <w:bdr w:val="none" w:color="auto" w:sz="0" w:space="0"/>
          <w:shd w:val="clear" w:fill="FFFFFF"/>
        </w:rPr>
        <w:t>　除国家另有规定外，各部门及其所属单位将行政事业性国有资产进行转让、拍卖、置换、对外投资等，应当按照国家有关规定进行资产评估。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行政事业性国有资产以市场化方式出售、出租的，依照有关规定可以通过相应公共资源交易平台进行。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第三十七条</w:t>
      </w:r>
      <w:r>
        <w:rPr>
          <w:rFonts w:hint="eastAsia" w:ascii="仿宋" w:hAnsi="仿宋" w:eastAsia="仿宋" w:cs="仿宋"/>
          <w:i w:val="0"/>
          <w:iCs w:val="0"/>
          <w:caps w:val="0"/>
          <w:color w:val="333333"/>
          <w:spacing w:val="0"/>
          <w:sz w:val="28"/>
          <w:szCs w:val="28"/>
          <w:bdr w:val="none" w:color="auto" w:sz="0" w:space="0"/>
          <w:shd w:val="clear" w:fill="FFFFFF"/>
        </w:rPr>
        <w:t>　有下列情形之一的，各部门及其所属单位应当对行政事业性国有资产进行清查：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（一）根据本级政府部署要求；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（二）发生重大资产调拨、划转以及单位分立、合并、改制、撤销、隶属关系改变等情形；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（三）因自然灾害等不可抗力造成资产毁损、灭失；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（四）会计信息严重失真；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（五）国家统一的会计制度发生重大变更，涉及资产核算方法发生重要变化；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（六）其他应当进行资产清查的情形。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第三十八条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各部门及其所属单位资产清查结果和涉及资产核实的事项，应当按照国务院财政部门的规定履行审批程序。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第三十九条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各部门及其所属单位在资产清查中发现账实不符、账账不符的，应当查明原因予以说明，并随同清查结果一并履行审批程序。各部门及其所属单位应当根据审批结果及时调整资产台账信息，同时进行会计处理。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由于资产使用人、管理人的原因造成资产毁损、灭失的，应当依法追究相关责任。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各部门及其所属单位对需要办理权属登记的资产应当依法及时办理。对有账簿记录但权证手续不全的行政事业性国有资产，可以向本级政府有关主管部门提出确认资产权属申请，及时办理权属登记。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第四十一条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各部门及其所属单位之间，各部门及其所属单位与其他单位和个人之间发生资产纠纷的，应当依照有关法律法规规定采取协商等方式处理。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第四十二条</w:t>
      </w:r>
      <w:r>
        <w:rPr>
          <w:rFonts w:hint="eastAsia" w:ascii="仿宋" w:hAnsi="仿宋" w:eastAsia="仿宋" w:cs="仿宋"/>
          <w:i w:val="0"/>
          <w:iCs w:val="0"/>
          <w:caps w:val="0"/>
          <w:color w:val="333333"/>
          <w:spacing w:val="0"/>
          <w:sz w:val="28"/>
          <w:szCs w:val="28"/>
          <w:bdr w:val="none" w:color="auto" w:sz="0" w:space="0"/>
          <w:shd w:val="clear" w:fill="FFFFFF"/>
        </w:rPr>
        <w:t>　国务院财政部门应当建立全国行政事业性国有资产管理信息系统，推行资产管理网上办理，实现信息共享。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第五章　资产报告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第四十三条</w:t>
      </w:r>
      <w:r>
        <w:rPr>
          <w:rFonts w:hint="eastAsia" w:ascii="仿宋" w:hAnsi="仿宋" w:eastAsia="仿宋" w:cs="仿宋"/>
          <w:i w:val="0"/>
          <w:iCs w:val="0"/>
          <w:caps w:val="0"/>
          <w:color w:val="333333"/>
          <w:spacing w:val="0"/>
          <w:sz w:val="28"/>
          <w:szCs w:val="28"/>
          <w:bdr w:val="none" w:color="auto" w:sz="0" w:space="0"/>
          <w:shd w:val="clear" w:fill="FFFFFF"/>
        </w:rPr>
        <w:t>　国家建立行政事业性国有资产管理情况报告制度。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国务院向全国人民代表大会常务委员会报告全国行政事业性国有资产管理情况。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县级以上地方人民政府按照规定向本级人民代表大会常务委员会报告行政事业性国有资产管理情况。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第四十四条</w:t>
      </w:r>
      <w:r>
        <w:rPr>
          <w:rFonts w:hint="eastAsia" w:ascii="仿宋" w:hAnsi="仿宋" w:eastAsia="仿宋" w:cs="仿宋"/>
          <w:i w:val="0"/>
          <w:iCs w:val="0"/>
          <w:caps w:val="0"/>
          <w:color w:val="333333"/>
          <w:spacing w:val="0"/>
          <w:sz w:val="28"/>
          <w:szCs w:val="28"/>
          <w:bdr w:val="none" w:color="auto" w:sz="0" w:space="0"/>
          <w:shd w:val="clear" w:fill="FFFFFF"/>
        </w:rPr>
        <w:t>　行政事业性国有资产管理情况报告，主要包括资产负债总量，相关管理制度建立和实施，资产配置、使用、处置和效益，推进管理体制机制改革等情况。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行政事业性国有资产管理情况按照国家有关规定向社会公开。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第四十五条</w:t>
      </w:r>
      <w:r>
        <w:rPr>
          <w:rFonts w:hint="eastAsia" w:ascii="仿宋" w:hAnsi="仿宋" w:eastAsia="仿宋" w:cs="仿宋"/>
          <w:i w:val="0"/>
          <w:iCs w:val="0"/>
          <w:caps w:val="0"/>
          <w:color w:val="333333"/>
          <w:spacing w:val="0"/>
          <w:sz w:val="28"/>
          <w:szCs w:val="28"/>
          <w:bdr w:val="none" w:color="auto" w:sz="0" w:space="0"/>
          <w:shd w:val="clear" w:fill="FFFFFF"/>
        </w:rPr>
        <w:t>　各部门所属单位应当每年编制本单位行政事业性国有资产管理情况报告，逐级报送相关部门。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各部门应当汇总编制本部门行政事业性国有资产管理情况报告，报送本级政府财政部门。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第四十六条</w:t>
      </w:r>
      <w:r>
        <w:rPr>
          <w:rFonts w:hint="eastAsia" w:ascii="仿宋" w:hAnsi="仿宋" w:eastAsia="仿宋" w:cs="仿宋"/>
          <w:i w:val="0"/>
          <w:iCs w:val="0"/>
          <w:caps w:val="0"/>
          <w:color w:val="333333"/>
          <w:spacing w:val="0"/>
          <w:sz w:val="28"/>
          <w:szCs w:val="28"/>
          <w:bdr w:val="none" w:color="auto" w:sz="0" w:space="0"/>
          <w:shd w:val="clear" w:fill="FFFFFF"/>
        </w:rPr>
        <w:t>　县级以上地方人民政府财政部门应当每年汇总本级和下级行政事业性国有资产管理情况，报送本级政府和上一级政府财政部门。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第六章　监　　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第四十七条</w:t>
      </w:r>
      <w:r>
        <w:rPr>
          <w:rFonts w:hint="eastAsia" w:ascii="仿宋" w:hAnsi="仿宋" w:eastAsia="仿宋" w:cs="仿宋"/>
          <w:i w:val="0"/>
          <w:iCs w:val="0"/>
          <w:caps w:val="0"/>
          <w:color w:val="333333"/>
          <w:spacing w:val="0"/>
          <w:sz w:val="28"/>
          <w:szCs w:val="28"/>
          <w:bdr w:val="none" w:color="auto" w:sz="0" w:space="0"/>
          <w:shd w:val="clear" w:fill="FFFFFF"/>
        </w:rPr>
        <w:t>　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乡、民族乡、镇人民政府应当接受本级人民代表大会对行政事业性国有资产管理情况的监督。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第四十八条</w:t>
      </w:r>
      <w:r>
        <w:rPr>
          <w:rFonts w:hint="eastAsia" w:ascii="仿宋" w:hAnsi="仿宋" w:eastAsia="仿宋" w:cs="仿宋"/>
          <w:i w:val="0"/>
          <w:iCs w:val="0"/>
          <w:caps w:val="0"/>
          <w:color w:val="333333"/>
          <w:spacing w:val="0"/>
          <w:sz w:val="28"/>
          <w:szCs w:val="28"/>
          <w:bdr w:val="none" w:color="auto" w:sz="0" w:space="0"/>
          <w:shd w:val="clear" w:fill="FFFFFF"/>
        </w:rPr>
        <w:t>　县级以上人民政府对下级政府的行政事业性国有资产管理情况进行监督。下级政府应当组织落实上一级政府提出的监管要求，并向上一级政府报告落实情况。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第四十九条</w:t>
      </w:r>
      <w:r>
        <w:rPr>
          <w:rFonts w:hint="eastAsia" w:ascii="仿宋" w:hAnsi="仿宋" w:eastAsia="仿宋" w:cs="仿宋"/>
          <w:i w:val="0"/>
          <w:iCs w:val="0"/>
          <w:caps w:val="0"/>
          <w:color w:val="333333"/>
          <w:spacing w:val="0"/>
          <w:sz w:val="28"/>
          <w:szCs w:val="28"/>
          <w:bdr w:val="none" w:color="auto" w:sz="0" w:space="0"/>
          <w:shd w:val="clear" w:fill="FFFFFF"/>
        </w:rPr>
        <w:t>　县级以上人民政府财政部门应当对本级各部门及其所属单位行政事业性国有资产管理情况进行监督检查，依法向社会公开检查结果。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第五十条</w:t>
      </w:r>
      <w:r>
        <w:rPr>
          <w:rFonts w:hint="eastAsia" w:ascii="仿宋" w:hAnsi="仿宋" w:eastAsia="仿宋" w:cs="仿宋"/>
          <w:i w:val="0"/>
          <w:iCs w:val="0"/>
          <w:caps w:val="0"/>
          <w:color w:val="333333"/>
          <w:spacing w:val="0"/>
          <w:sz w:val="28"/>
          <w:szCs w:val="28"/>
          <w:bdr w:val="none" w:color="auto" w:sz="0" w:space="0"/>
          <w:shd w:val="clear" w:fill="FFFFFF"/>
        </w:rPr>
        <w:t>　县级以上人民政府审计部门依法对行政事业性国有资产管理情况进行审计监督。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第五十一条</w:t>
      </w:r>
      <w:r>
        <w:rPr>
          <w:rFonts w:hint="eastAsia" w:ascii="仿宋" w:hAnsi="仿宋" w:eastAsia="仿宋" w:cs="仿宋"/>
          <w:i w:val="0"/>
          <w:iCs w:val="0"/>
          <w:caps w:val="0"/>
          <w:color w:val="333333"/>
          <w:spacing w:val="0"/>
          <w:sz w:val="28"/>
          <w:szCs w:val="28"/>
          <w:bdr w:val="none" w:color="auto" w:sz="0" w:space="0"/>
          <w:shd w:val="clear" w:fill="FFFFFF"/>
        </w:rPr>
        <w:t>　各部门应当建立健全行政事业性国有资产监督管理制度，根据职责对本行业行政事业性国有资产管理依法进行监督。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各部门所属单位应当制定行政事业性国有资产内部控制制度，防控行政事业性国有资产管理风险。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第五十二条</w:t>
      </w:r>
      <w:r>
        <w:rPr>
          <w:rFonts w:hint="eastAsia" w:ascii="仿宋" w:hAnsi="仿宋" w:eastAsia="仿宋" w:cs="仿宋"/>
          <w:i w:val="0"/>
          <w:iCs w:val="0"/>
          <w:caps w:val="0"/>
          <w:color w:val="333333"/>
          <w:spacing w:val="0"/>
          <w:sz w:val="28"/>
          <w:szCs w:val="28"/>
          <w:bdr w:val="none" w:color="auto" w:sz="0" w:space="0"/>
          <w:shd w:val="clear" w:fill="FFFFFF"/>
        </w:rPr>
        <w:t>　公民、法人或者其他组织发现违反本条例的行为，有权向有关部门进行检举、控告。接受检举、控告的有关部门应当依法进行处理，并为检举人、控告人保密。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任何单位或者个人不得压制和打击报复检举人、控告人。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第五十三条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各部门及其所属单位有下列行为之一的，责令改正，情节较重的，对负有直接责任的主管人员和其他直接责任人员依法给予处分：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（一）配置、使用、处置国有资产未按照规定经集体决策或者履行审批程序；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（二）超标准配置国有资产；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（三）未按照规定办理国有资产调剂、调拨、划转、交接等手续；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（四）未按照规定履行国有资产拍卖、报告、披露等程序；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（五）未按照规定期限办理建设项目竣工财务决算；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（六）未按照规定进行国有资产清查；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（七）未按照规定设置国有资产台账；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（八）未按照规定编制、报送国有资产管理情况报告。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第五十四条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各部门及其所属单位有下列行为之一的，责令改正，有违法所得的没收违法所得，情节较重的，对负有直接责任的主管人员和其他直接责任人员依法给予处分；构成犯罪的，依法追究刑事责任：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（一）非法占有、使用国有资产或者采用弄虚作假等方式低价处置国有资产；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（二）违反规定将国有资产用于对外投资或者设立营利性组织；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（三）未按照规定评估国有资产导致国家利益损失；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（四）其他违反本条例规定造成国有资产损失的行为。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第五十五条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各部门及其所属单位在国有资产管理工作中有违反预算管理规定行为的，依照《中华人民共和国预算法》及其实施条例、《财政违法行为处罚处分条例》等法律、行政法规追究责任。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第五十六条</w:t>
      </w:r>
      <w:r>
        <w:rPr>
          <w:rFonts w:hint="eastAsia" w:ascii="仿宋" w:hAnsi="仿宋" w:eastAsia="仿宋" w:cs="仿宋"/>
          <w:i w:val="0"/>
          <w:iCs w:val="0"/>
          <w:caps w:val="0"/>
          <w:color w:val="333333"/>
          <w:spacing w:val="0"/>
          <w:sz w:val="28"/>
          <w:szCs w:val="28"/>
          <w:bdr w:val="none" w:color="auto" w:sz="0" w:space="0"/>
          <w:shd w:val="clear" w:fill="FFFFFF"/>
        </w:rPr>
        <w:t>　各部门及其所属单位的工作人员在国有资产管理工作中滥用职权、玩忽职守、徇私舞弊或者有浪费国有资产等违法违规行为的，由有关部门依法给予处分；构成犯罪的，依法追究刑事责任。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第五十七条</w:t>
      </w:r>
      <w:r>
        <w:rPr>
          <w:rFonts w:hint="eastAsia" w:ascii="仿宋" w:hAnsi="仿宋" w:eastAsia="仿宋" w:cs="仿宋"/>
          <w:i w:val="0"/>
          <w:iCs w:val="0"/>
          <w:caps w:val="0"/>
          <w:color w:val="333333"/>
          <w:spacing w:val="0"/>
          <w:sz w:val="28"/>
          <w:szCs w:val="28"/>
          <w:bdr w:val="none" w:color="auto" w:sz="0" w:space="0"/>
          <w:shd w:val="clear" w:fill="FFFFFF"/>
        </w:rPr>
        <w:t>　除国家另有规定外，社会组织直接支配的行政事业性国有资产管理，依照本条例执行。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第五十八条</w:t>
      </w:r>
      <w:r>
        <w:rPr>
          <w:rFonts w:hint="eastAsia" w:ascii="仿宋" w:hAnsi="仿宋" w:eastAsia="仿宋" w:cs="仿宋"/>
          <w:i w:val="0"/>
          <w:iCs w:val="0"/>
          <w:caps w:val="0"/>
          <w:color w:val="333333"/>
          <w:spacing w:val="0"/>
          <w:sz w:val="28"/>
          <w:szCs w:val="28"/>
          <w:bdr w:val="none" w:color="auto" w:sz="0" w:space="0"/>
          <w:shd w:val="clear" w:fill="FFFFFF"/>
        </w:rPr>
        <w:t>　货币形式的行政事业性国有资产管理，按照预算管理有关规定执行。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执行企业财务、会计制度的事业单位以及事业单位对外投资的全资企业或者控股企业的资产管理，不适用本条例。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第五十九条</w:t>
      </w:r>
      <w:r>
        <w:rPr>
          <w:rFonts w:hint="eastAsia" w:ascii="仿宋" w:hAnsi="仿宋" w:eastAsia="仿宋" w:cs="仿宋"/>
          <w:i w:val="0"/>
          <w:iCs w:val="0"/>
          <w:caps w:val="0"/>
          <w:color w:val="333333"/>
          <w:spacing w:val="0"/>
          <w:sz w:val="28"/>
          <w:szCs w:val="28"/>
          <w:bdr w:val="none" w:color="auto" w:sz="0" w:space="0"/>
          <w:shd w:val="clear" w:fill="FFFFFF"/>
        </w:rPr>
        <w:t>　公共基础设施、政府储备物资、国有文物文化等行政事业性国有资产管理的具体办法，由国务院财政部门会同有关部门制定。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第六十条</w:t>
      </w:r>
      <w:r>
        <w:rPr>
          <w:rFonts w:hint="eastAsia" w:ascii="仿宋" w:hAnsi="仿宋" w:eastAsia="仿宋" w:cs="仿宋"/>
          <w:i w:val="0"/>
          <w:iCs w:val="0"/>
          <w:caps w:val="0"/>
          <w:color w:val="333333"/>
          <w:spacing w:val="0"/>
          <w:sz w:val="28"/>
          <w:szCs w:val="28"/>
          <w:bdr w:val="none" w:color="auto" w:sz="0" w:space="0"/>
          <w:shd w:val="clear" w:fill="FFFFFF"/>
        </w:rPr>
        <w:t>　中国人民解放军、中国人民武装警察部队直接支配的行政事业性国有资产管理，依照中央军事委员会有关规定执行。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第六十一条</w:t>
      </w:r>
      <w:r>
        <w:rPr>
          <w:rFonts w:hint="eastAsia" w:ascii="仿宋" w:hAnsi="仿宋" w:eastAsia="仿宋" w:cs="仿宋"/>
          <w:i w:val="0"/>
          <w:iCs w:val="0"/>
          <w:caps w:val="0"/>
          <w:color w:val="333333"/>
          <w:spacing w:val="0"/>
          <w:sz w:val="28"/>
          <w:szCs w:val="28"/>
          <w:bdr w:val="none" w:color="auto" w:sz="0" w:space="0"/>
          <w:shd w:val="clear" w:fill="FFFFFF"/>
        </w:rPr>
        <w:t>　本条例自2021年4月1日起施行。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4A1B6"/>
    <w:multiLevelType w:val="multilevel"/>
    <w:tmpl w:val="2914A1B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D3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LE</dc:creator>
  <lastModifiedBy>天富</lastModifiedBy>
  <dcterms:modified xsi:type="dcterms:W3CDTF">2021-09-17T07:08:41Z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77619C90FA5F42D7BB8EAEBA02AE7097</vt:lpwstr>
  </property>
</Properties>
</file>